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DC143C"/>
          <w:sz w:val="40"/>
        </w:rPr>
        <w:t>CHECKLISTE</w:t>
      </w:r>
    </w:p>
    <w:p>
      <w:pPr>
        <w:jc w:val="center"/>
      </w:pPr>
      <w:r>
        <w:rPr>
          <w:rFonts w:ascii="Arial" w:hAnsi="Arial"/>
          <w:color w:val="1E3A5F"/>
          <w:sz w:val="24"/>
        </w:rPr>
        <w:t>Mietzinserhöhung prüfen – Schritt für Schritt</w:t>
      </w:r>
    </w:p>
    <w:p>
      <w:pPr>
        <w:spacing w:after="0"/>
      </w:pPr>
    </w:p>
    <w:p>
      <w:pPr>
        <w:spacing w:before="240" w:after="240"/>
      </w:pPr>
      <w:r>
        <w:rPr>
          <w:rFonts w:ascii="Arial" w:hAnsi="Arial"/>
          <w:b/>
          <w:color w:val="1E3A5F"/>
          <w:sz w:val="24"/>
        </w:rPr>
        <w:t>☐ Schritt 1: Formale Prüfung</w:t>
      </w:r>
    </w:p>
    <w:p>
      <w:pPr>
        <w:spacing w:after="80"/>
        <w:ind w:left="283"/>
      </w:pPr>
      <w:r>
        <w:rPr>
          <w:rFonts w:ascii="Arial" w:hAnsi="Arial"/>
          <w:sz w:val="20"/>
        </w:rPr>
        <w:t>☐  Wurde das amtliche (kantonal genehmigte) Formular verwendet?</w:t>
      </w:r>
    </w:p>
    <w:p>
      <w:pPr>
        <w:spacing w:after="80"/>
        <w:ind w:left="283"/>
      </w:pPr>
      <w:r>
        <w:rPr>
          <w:rFonts w:ascii="Arial" w:hAnsi="Arial"/>
          <w:sz w:val="20"/>
        </w:rPr>
        <w:t>☐  Ist das Formular beidseitig gedruckt?</w:t>
      </w:r>
    </w:p>
    <w:p>
      <w:pPr>
        <w:spacing w:after="80"/>
        <w:ind w:left="283"/>
      </w:pPr>
      <w:r>
        <w:rPr>
          <w:rFonts w:ascii="Arial" w:hAnsi="Arial"/>
          <w:sz w:val="20"/>
        </w:rPr>
        <w:t>☐  Sind alle Felder korrekt ausgefüllt?</w:t>
      </w:r>
    </w:p>
    <w:p>
      <w:pPr>
        <w:spacing w:after="80"/>
        <w:ind w:left="283"/>
      </w:pPr>
      <w:r>
        <w:rPr>
          <w:rFonts w:ascii="Arial" w:hAnsi="Arial"/>
          <w:sz w:val="20"/>
        </w:rPr>
        <w:t>☐  Entspricht der Kündigungstermin den vertraglichen Terminen?</w:t>
      </w:r>
    </w:p>
    <w:p>
      <w:pPr>
        <w:spacing w:after="80"/>
        <w:ind w:left="283"/>
      </w:pPr>
      <w:r>
        <w:rPr>
          <w:rFonts w:ascii="Arial" w:hAnsi="Arial"/>
          <w:sz w:val="20"/>
        </w:rPr>
        <w:t>☐  Ist das Schreiben an alle Mieter/innen adressiert?</w:t>
      </w:r>
    </w:p>
    <w:p>
      <w:pPr>
        <w:spacing w:after="80"/>
        <w:ind w:left="283"/>
      </w:pPr>
      <w:r>
        <w:rPr>
          <w:rFonts w:ascii="Arial" w:hAnsi="Arial"/>
          <w:sz w:val="20"/>
        </w:rPr>
        <w:t>☐  Wurde es per Einschreiben zugestellt?</w:t>
      </w:r>
    </w:p>
    <w:p>
      <w:pPr>
        <w:spacing w:after="0"/>
      </w:pPr>
    </w:p>
    <w:p>
      <w:pPr>
        <w:spacing w:before="240" w:after="240"/>
      </w:pPr>
      <w:r>
        <w:rPr>
          <w:rFonts w:ascii="Arial" w:hAnsi="Arial"/>
          <w:b/>
          <w:color w:val="1E3A5F"/>
          <w:sz w:val="24"/>
        </w:rPr>
        <w:t>☐ Schritt 2: Inhaltliche Prüfung</w:t>
      </w:r>
    </w:p>
    <w:p>
      <w:pPr>
        <w:spacing w:after="80"/>
        <w:ind w:left="283"/>
      </w:pPr>
      <w:r>
        <w:rPr>
          <w:rFonts w:ascii="Arial" w:hAnsi="Arial"/>
          <w:sz w:val="20"/>
        </w:rPr>
        <w:t>☐  Auf welchem Referenzzinssatz basiert mein aktueller Mietzins?</w:t>
      </w:r>
    </w:p>
    <w:p>
      <w:pPr>
        <w:spacing w:after="80"/>
        <w:ind w:left="283"/>
      </w:pPr>
      <w:r>
        <w:rPr>
          <w:rFonts w:ascii="Arial" w:hAnsi="Arial"/>
          <w:sz w:val="20"/>
        </w:rPr>
        <w:t>☐  Ist die Berechnung der Erhöhung nachvollziehbar?</w:t>
      </w:r>
    </w:p>
    <w:p>
      <w:pPr>
        <w:spacing w:after="80"/>
        <w:ind w:left="283"/>
      </w:pPr>
      <w:r>
        <w:rPr>
          <w:rFonts w:ascii="Arial" w:hAnsi="Arial"/>
          <w:sz w:val="20"/>
        </w:rPr>
        <w:t>☐  Wurde bei Teuerung die 40%-Regel eingehalten?</w:t>
      </w:r>
    </w:p>
    <w:p>
      <w:pPr>
        <w:spacing w:after="80"/>
        <w:ind w:left="283"/>
      </w:pPr>
      <w:r>
        <w:rPr>
          <w:rFonts w:ascii="Arial" w:hAnsi="Arial"/>
          <w:sz w:val="20"/>
        </w:rPr>
        <w:t>☐  Sind geltend gemachte Mehrleistungen tatsächlich wertvermehrend?</w:t>
      </w:r>
    </w:p>
    <w:p>
      <w:pPr>
        <w:spacing w:after="80"/>
        <w:ind w:left="283"/>
      </w:pPr>
      <w:r>
        <w:rPr>
          <w:rFonts w:ascii="Arial" w:hAnsi="Arial"/>
          <w:sz w:val="20"/>
        </w:rPr>
        <w:t>☐  Wurden frühere Referenzzinssenkungen an mich weitergegeben?</w:t>
      </w:r>
    </w:p>
    <w:p>
      <w:pPr>
        <w:spacing w:after="80"/>
        <w:ind w:left="283"/>
      </w:pPr>
      <w:r>
        <w:rPr>
          <w:rFonts w:ascii="Arial" w:hAnsi="Arial"/>
          <w:sz w:val="20"/>
        </w:rPr>
        <w:t>☐  Liegt der Mietzins im ortsüblichen Rahmen?</w:t>
      </w:r>
    </w:p>
    <w:p>
      <w:pPr>
        <w:spacing w:after="0"/>
      </w:pPr>
    </w:p>
    <w:p>
      <w:pPr>
        <w:spacing w:before="240" w:after="240"/>
      </w:pPr>
      <w:r>
        <w:rPr>
          <w:rFonts w:ascii="Arial" w:hAnsi="Arial"/>
          <w:b/>
          <w:color w:val="1E3A5F"/>
          <w:sz w:val="24"/>
        </w:rPr>
        <w:t>⚠️ Schritt 3: Warnsignale</w:t>
      </w:r>
    </w:p>
    <w:p>
      <w:pPr>
        <w:spacing w:after="80"/>
        <w:ind w:left="283"/>
      </w:pPr>
      <w:r>
        <w:rPr>
          <w:rFonts w:ascii="Arial" w:hAnsi="Arial"/>
          <w:sz w:val="20"/>
        </w:rPr>
        <w:t>⚠️  Erhöhung um mehr als 10% auf einmal</w:t>
      </w:r>
    </w:p>
    <w:p>
      <w:pPr>
        <w:spacing w:after="80"/>
        <w:ind w:left="283"/>
      </w:pPr>
      <w:r>
        <w:rPr>
          <w:rFonts w:ascii="Arial" w:hAnsi="Arial"/>
          <w:sz w:val="20"/>
        </w:rPr>
        <w:t>⚠️  Kumulierung von Referenzzins + Teuerung + Mehrleistungen</w:t>
      </w:r>
    </w:p>
    <w:p>
      <w:pPr>
        <w:spacing w:after="80"/>
        <w:ind w:left="283"/>
      </w:pPr>
      <w:r>
        <w:rPr>
          <w:rFonts w:ascii="Arial" w:hAnsi="Arial"/>
          <w:sz w:val="20"/>
        </w:rPr>
        <w:t>⚠️  Mehrleistungen geltend gemacht, aber Renovation nicht durchgeführt</w:t>
      </w:r>
    </w:p>
    <w:p>
      <w:pPr>
        <w:spacing w:after="80"/>
        <w:ind w:left="283"/>
      </w:pPr>
      <w:r>
        <w:rPr>
          <w:rFonts w:ascii="Arial" w:hAnsi="Arial"/>
          <w:sz w:val="20"/>
        </w:rPr>
        <w:t>⚠️  Anfangsmietzins wurde nie überprüft (Vertragsabschluss &lt; 30 Tage)</w:t>
      </w:r>
    </w:p>
    <w:p>
      <w:pPr>
        <w:spacing w:after="80"/>
        <w:ind w:left="283"/>
      </w:pPr>
      <w:r>
        <w:rPr>
          <w:rFonts w:ascii="Arial" w:hAnsi="Arial"/>
          <w:sz w:val="20"/>
        </w:rPr>
        <w:t>⚠️  Keine detaillierte Berechnung beigelegt</w:t>
      </w:r>
    </w:p>
    <w:p>
      <w:pPr>
        <w:spacing w:after="0"/>
      </w:pPr>
    </w:p>
    <w:p>
      <w:pPr>
        <w:spacing w:before="240" w:after="240"/>
      </w:pPr>
      <w:r>
        <w:rPr>
          <w:rFonts w:ascii="Arial" w:hAnsi="Arial"/>
          <w:b/>
          <w:color w:val="1E3A5F"/>
          <w:sz w:val="24"/>
        </w:rPr>
        <w:t>📋 Empfehlung</w:t>
      </w:r>
    </w:p>
    <w:p>
      <w:pPr>
        <w:ind w:left="283"/>
      </w:pPr>
      <w:r>
        <w:rPr>
          <w:b/>
        </w:rPr>
        <w:t xml:space="preserve">• Alles OK? </w:t>
      </w:r>
      <w:r>
        <w:t>→ Erhöhung akzeptieren</w:t>
      </w:r>
    </w:p>
    <w:p>
      <w:pPr>
        <w:ind w:left="283"/>
      </w:pPr>
      <w:r>
        <w:rPr>
          <w:b/>
        </w:rPr>
        <w:t xml:space="preserve">• Zweifel? </w:t>
      </w:r>
      <w:r>
        <w:t>→ Rückfragen an Vermieter (Vorlage 4)</w:t>
      </w:r>
    </w:p>
    <w:p>
      <w:pPr>
        <w:ind w:left="283"/>
      </w:pPr>
      <w:r>
        <w:rPr>
          <w:b/>
        </w:rPr>
        <w:t xml:space="preserve">• Formfehler? </w:t>
      </w:r>
      <w:r>
        <w:t>→ Erhöhung ist nichtig!</w:t>
      </w:r>
    </w:p>
    <w:p>
      <w:pPr>
        <w:ind w:left="283"/>
      </w:pPr>
      <w:r>
        <w:rPr>
          <w:b/>
        </w:rPr>
        <w:t xml:space="preserve">• Inhaltlich falsch? </w:t>
      </w:r>
      <w:r>
        <w:t>→ Schlichtungsbehörde (Vorlage 6)</w:t>
      </w:r>
    </w:p>
    <w:p>
      <w:pPr>
        <w:spacing w:after="0"/>
      </w:pPr>
    </w:p>
    <w:p>
      <w:pPr>
        <w:jc w:val="center"/>
      </w:pPr>
    </w:p>
    <w:p>
      <w:pPr>
        <w:jc w:val="center"/>
      </w:pPr>
      <w:r>
        <w:rPr>
          <w:rFonts w:ascii="Arial" w:hAnsi="Arial"/>
          <w:b/>
          <w:color w:val="DC143C"/>
          <w:sz w:val="22"/>
        </w:rPr>
        <w:t>⏰ WICHTIG: Anfechtungsfrist 30 Tage ab Erhalt!</w:t>
      </w:r>
    </w:p>
    <w:p>
      <w:pPr>
        <w:jc w:val="center"/>
      </w:pPr>
      <w:r>
        <w:rPr>
          <w:rFonts w:ascii="Arial" w:hAnsi="Arial"/>
          <w:color w:val="64748B"/>
          <w:sz w:val="18"/>
        </w:rPr>
        <w:t>Bei nicht abgeholtem Einschreiben: Frist ab letztem Tag der 7-tägigen Abholfrist</w:t>
      </w:r>
    </w:p>
    <w:p>
      <w:pPr>
        <w:spacing w:after="0"/>
      </w:pPr>
    </w:p>
    <w:p>
      <w:pPr>
        <w:spacing w:after="0"/>
      </w:pPr>
    </w:p>
    <w:p>
      <w:pPr>
        <w:jc w:val="center"/>
      </w:pPr>
      <w:r>
        <w:rPr>
          <w:color w:val="64748B"/>
          <w:sz w:val="16"/>
        </w:rPr>
        <w:t>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rFonts w:ascii="Arial" w:hAnsi="Arial"/>
          <w:b/>
          <w:color w:val="DC143C"/>
          <w:sz w:val="16"/>
        </w:rPr>
        <w:t>Vorlage: ConvivaPlus.ch</w:t>
      </w:r>
      <w:r>
        <w:rPr>
          <w:rFonts w:ascii="Arial" w:hAnsi="Arial"/>
          <w:color w:val="64748B"/>
          <w:sz w:val="16"/>
        </w:rPr>
        <w:t xml:space="preserve"> | Stand: Januar 2026</w:t>
      </w:r>
    </w:p>
    <w:p>
      <w:pPr>
        <w:jc w:val="center"/>
      </w:pPr>
      <w:r>
        <w:rPr>
          <w:rFonts w:ascii="Arial" w:hAnsi="Arial"/>
          <w:i/>
          <w:color w:val="64748B"/>
          <w:sz w:val="14"/>
        </w:rPr>
        <w:t>Diese Vorlage dient als Muster und ersetzt keine Rechtsberatung. Alle Angaben ohne Gewähr.</w:t>
      </w:r>
    </w:p>
    <w:sectPr w:rsidR="00FC693F" w:rsidRPr="0006063C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